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6985" w14:textId="77777777" w:rsidR="00CB4094" w:rsidRPr="00CB4094" w:rsidRDefault="00CB4094" w:rsidP="00CB4094">
      <w:pPr>
        <w:rPr>
          <w:b/>
          <w:bCs/>
        </w:rPr>
      </w:pPr>
      <w:r w:rsidRPr="00CB4094">
        <w:rPr>
          <w:b/>
          <w:bCs/>
        </w:rPr>
        <w:t>Daha Akıllı Sistemler, Daha Güvenli Şehirler</w:t>
      </w:r>
    </w:p>
    <w:p w14:paraId="749CE403" w14:textId="77777777" w:rsidR="00CB4094" w:rsidRPr="00CB4094" w:rsidRDefault="00CB4094" w:rsidP="00CB4094">
      <w:pPr>
        <w:rPr>
          <w:b/>
          <w:bCs/>
        </w:rPr>
      </w:pPr>
      <w:r w:rsidRPr="00CB4094">
        <w:rPr>
          <w:b/>
          <w:bCs/>
        </w:rPr>
        <w:t>AAEON, MIX-Q670D1 ile NVR Dağıtımını Ölçeklendiriyor</w:t>
      </w:r>
    </w:p>
    <w:p w14:paraId="41E438FB" w14:textId="77777777" w:rsidR="00CB4094" w:rsidRPr="00CB4094" w:rsidRDefault="00000000" w:rsidP="00CB4094">
      <w:r>
        <w:pict w14:anchorId="58F7C71A">
          <v:rect id="_x0000_i1025" style="width:0;height:1.5pt" o:hralign="center" o:hrstd="t" o:hr="t" fillcolor="#a0a0a0" stroked="f"/>
        </w:pict>
      </w:r>
    </w:p>
    <w:p w14:paraId="6B6AD29E" w14:textId="77777777" w:rsidR="00CB4094" w:rsidRPr="00CB4094" w:rsidRDefault="00CB4094" w:rsidP="00CB4094">
      <w:pPr>
        <w:rPr>
          <w:b/>
          <w:bCs/>
        </w:rPr>
      </w:pPr>
      <w:r w:rsidRPr="00CB4094">
        <w:rPr>
          <w:b/>
          <w:bCs/>
        </w:rPr>
        <w:t>Giriş</w:t>
      </w:r>
    </w:p>
    <w:p w14:paraId="7C1EE4A4" w14:textId="77777777" w:rsidR="00CB4094" w:rsidRPr="00CB4094" w:rsidRDefault="00CB4094" w:rsidP="00CB4094">
      <w:r w:rsidRPr="00CB4094">
        <w:t xml:space="preserve">Güvenlik kameraları ve interkom ağları gibi kamu altyapı elektroniği konusunda köklü bir geçmişe sahip bir şirket, geliştirdiği yeni nesil </w:t>
      </w:r>
      <w:r w:rsidRPr="00CB4094">
        <w:rPr>
          <w:b/>
          <w:bCs/>
        </w:rPr>
        <w:t xml:space="preserve">network video </w:t>
      </w:r>
      <w:proofErr w:type="spellStart"/>
      <w:r w:rsidRPr="00CB4094">
        <w:rPr>
          <w:b/>
          <w:bCs/>
        </w:rPr>
        <w:t>recorder</w:t>
      </w:r>
      <w:proofErr w:type="spellEnd"/>
      <w:r w:rsidRPr="00CB4094">
        <w:rPr>
          <w:b/>
          <w:bCs/>
        </w:rPr>
        <w:t xml:space="preserve"> (NVR)</w:t>
      </w:r>
      <w:r w:rsidRPr="00CB4094">
        <w:t xml:space="preserve"> serisinin temelini oluşturacak gelişmiş bir bilgi işlem platformu arıyordu.</w:t>
      </w:r>
    </w:p>
    <w:p w14:paraId="4836617C" w14:textId="77777777" w:rsidR="00CB4094" w:rsidRPr="00CB4094" w:rsidRDefault="00CB4094" w:rsidP="00CB4094">
      <w:r w:rsidRPr="00CB4094">
        <w:t xml:space="preserve">Müşterinin genel hedefi, profesyonel bir gözetim ortamında </w:t>
      </w:r>
      <w:r w:rsidRPr="00CB4094">
        <w:rPr>
          <w:b/>
          <w:bCs/>
        </w:rPr>
        <w:t>video kanıtlarını kaydetme, saklama ve inceleme</w:t>
      </w:r>
      <w:r w:rsidRPr="00CB4094">
        <w:t xml:space="preserve"> yeteneğine sahip görev kritik bir araç yaratmaktı. Bu, ürünlerin kullanım alanlarının; </w:t>
      </w:r>
      <w:r w:rsidRPr="00CB4094">
        <w:rPr>
          <w:b/>
          <w:bCs/>
        </w:rPr>
        <w:t>ulaşım merkezleri, şehir merkezleri, yüksek insan trafiğine sahip turistik alanlar</w:t>
      </w:r>
      <w:r w:rsidRPr="00CB4094">
        <w:t xml:space="preserve"> gibi kolluk kuvvetleri tarafından izlenen kamu alanlarından </w:t>
      </w:r>
      <w:r w:rsidRPr="00CB4094">
        <w:rPr>
          <w:b/>
          <w:bCs/>
        </w:rPr>
        <w:t>hastaneler ve ticari binalar</w:t>
      </w:r>
      <w:r w:rsidRPr="00CB4094">
        <w:t xml:space="preserve"> gibi daha yerel güvenlik sistemlerine kadar değişmesi göz önüne alındığında oldukça büyük bir görevdi.</w:t>
      </w:r>
    </w:p>
    <w:p w14:paraId="6946C044" w14:textId="77777777" w:rsidR="00CB4094" w:rsidRPr="00CB4094" w:rsidRDefault="00000000" w:rsidP="00CB4094">
      <w:r>
        <w:pict w14:anchorId="349E0677">
          <v:rect id="_x0000_i1026" style="width:0;height:1.5pt" o:hralign="center" o:hrstd="t" o:hr="t" fillcolor="#a0a0a0" stroked="f"/>
        </w:pict>
      </w:r>
    </w:p>
    <w:p w14:paraId="5A4AD1F5" w14:textId="77777777" w:rsidR="00CB4094" w:rsidRPr="00CB4094" w:rsidRDefault="00CB4094" w:rsidP="00CB4094">
      <w:pPr>
        <w:rPr>
          <w:b/>
          <w:bCs/>
        </w:rPr>
      </w:pPr>
      <w:r w:rsidRPr="00CB4094">
        <w:rPr>
          <w:b/>
          <w:bCs/>
        </w:rPr>
        <w:t>Proje Gereksinimleri</w:t>
      </w:r>
    </w:p>
    <w:p w14:paraId="03659B5E" w14:textId="77777777" w:rsidR="00CB4094" w:rsidRPr="00CB4094" w:rsidRDefault="00CB4094" w:rsidP="00CB4094">
      <w:r w:rsidRPr="00CB4094">
        <w:t xml:space="preserve">Son ürünün çok yönlü doğası nedeniyle </w:t>
      </w:r>
      <w:r w:rsidRPr="00CB4094">
        <w:rPr>
          <w:b/>
          <w:bCs/>
        </w:rPr>
        <w:t>ölçeklenebilirlik</w:t>
      </w:r>
      <w:r w:rsidRPr="00CB4094">
        <w:t xml:space="preserve"> kritik öneme sahipti; özellikle kamera desteği açısından.</w:t>
      </w:r>
    </w:p>
    <w:p w14:paraId="6C06262F" w14:textId="77777777" w:rsidR="00CB4094" w:rsidRPr="00CB4094" w:rsidRDefault="00CB4094" w:rsidP="00CB4094">
      <w:r w:rsidRPr="00CB4094">
        <w:t xml:space="preserve">Müşteri, her NVR ünitesinin kapsadığı geniş alan nedeniyle </w:t>
      </w:r>
      <w:r w:rsidRPr="00CB4094">
        <w:rPr>
          <w:b/>
          <w:bCs/>
        </w:rPr>
        <w:t>çok sayıda kamerayı destekleyebilecek</w:t>
      </w:r>
      <w:r w:rsidRPr="00CB4094">
        <w:t xml:space="preserve">, aynı zamanda yüksek bant genişliğine sahip IP kamera akışlarını </w:t>
      </w:r>
      <w:r w:rsidRPr="00CB4094">
        <w:rPr>
          <w:b/>
          <w:bCs/>
        </w:rPr>
        <w:t>veri akışını düşürmeden alabilecek</w:t>
      </w:r>
      <w:r w:rsidRPr="00CB4094">
        <w:t xml:space="preserve"> bir sistem istiyordu.</w:t>
      </w:r>
    </w:p>
    <w:p w14:paraId="42F3CC64" w14:textId="77777777" w:rsidR="00CB4094" w:rsidRPr="00CB4094" w:rsidRDefault="00CB4094" w:rsidP="00CB4094">
      <w:r w:rsidRPr="00CB4094">
        <w:t xml:space="preserve">Bundan dolayı, </w:t>
      </w:r>
      <w:r w:rsidRPr="00CB4094">
        <w:rPr>
          <w:b/>
          <w:bCs/>
        </w:rPr>
        <w:t>yüksek hacimli video verilerini uzun süre saklayacak yeterli yerel depolama</w:t>
      </w:r>
      <w:r w:rsidRPr="00CB4094">
        <w:t xml:space="preserve"> da ikinci kritik gereksinimdi. Toplanan verilerin hassasiyeti göz önünde bulundurularak </w:t>
      </w:r>
      <w:r w:rsidRPr="00CB4094">
        <w:rPr>
          <w:b/>
          <w:bCs/>
        </w:rPr>
        <w:t>gelişmiş güvenlik özellikleri</w:t>
      </w:r>
      <w:r w:rsidRPr="00CB4094">
        <w:t xml:space="preserve"> de önemli bir avantaj olarak değerlendirildi.</w:t>
      </w:r>
    </w:p>
    <w:p w14:paraId="1DF4E0C9" w14:textId="77777777" w:rsidR="00CB4094" w:rsidRPr="00CB4094" w:rsidRDefault="00CB4094" w:rsidP="00CB4094">
      <w:r w:rsidRPr="00CB4094">
        <w:t xml:space="preserve">Ayrıca müşteri, </w:t>
      </w:r>
      <w:r w:rsidRPr="00CB4094">
        <w:rPr>
          <w:b/>
          <w:bCs/>
        </w:rPr>
        <w:t>çoklu video akışlarını eş zamanlı olarak çözüp işleyebilecek güçlü bir işlemciye</w:t>
      </w:r>
      <w:r w:rsidRPr="00CB4094">
        <w:t xml:space="preserve"> sahip bir ürün talep etti.</w:t>
      </w:r>
    </w:p>
    <w:p w14:paraId="56604B4C" w14:textId="77777777" w:rsidR="00CB4094" w:rsidRPr="00CB4094" w:rsidRDefault="00CB4094" w:rsidP="00CB4094">
      <w:r w:rsidRPr="00CB4094">
        <w:t xml:space="preserve">NVR uygulamalarının çoğunda olduğu gibi, sistem üzerinde </w:t>
      </w:r>
      <w:r w:rsidRPr="00CB4094">
        <w:rPr>
          <w:b/>
          <w:bCs/>
        </w:rPr>
        <w:t>monitör desteği</w:t>
      </w:r>
      <w:r w:rsidRPr="00CB4094">
        <w:t xml:space="preserve"> gerekliliği vardı; bu sayede personel kameraların kapsadığı alanları izleyebilecek ve </w:t>
      </w:r>
      <w:proofErr w:type="spellStart"/>
      <w:r w:rsidRPr="00CB4094">
        <w:t>NVR’de</w:t>
      </w:r>
      <w:proofErr w:type="spellEnd"/>
      <w:r w:rsidRPr="00CB4094">
        <w:t xml:space="preserve"> saklanan olay verilerini inceleyebilecekti.</w:t>
      </w:r>
    </w:p>
    <w:p w14:paraId="47357900" w14:textId="77777777" w:rsidR="00CB4094" w:rsidRPr="00CB4094" w:rsidRDefault="00CB4094" w:rsidP="00CB4094">
      <w:r w:rsidRPr="00CB4094">
        <w:t xml:space="preserve">Son olarak, müşteri, seçilen ürünün </w:t>
      </w:r>
      <w:r w:rsidRPr="00CB4094">
        <w:rPr>
          <w:b/>
          <w:bCs/>
        </w:rPr>
        <w:t>montaj şasisine sığacak kadar kompakt</w:t>
      </w:r>
      <w:r w:rsidRPr="00CB4094">
        <w:t xml:space="preserve">, aynı zamanda </w:t>
      </w:r>
      <w:r w:rsidRPr="00CB4094">
        <w:rPr>
          <w:b/>
          <w:bCs/>
        </w:rPr>
        <w:t>kararsız veya dalgalı güç kaynaklarına sahip çeşitli lokasyonlarda dayanıklı</w:t>
      </w:r>
      <w:r w:rsidRPr="00CB4094">
        <w:t xml:space="preserve"> olmasını istedi.</w:t>
      </w:r>
    </w:p>
    <w:p w14:paraId="696FDF65" w14:textId="77777777" w:rsidR="00CB4094" w:rsidRPr="00CB4094" w:rsidRDefault="00CB4094" w:rsidP="00CB4094">
      <w:r w:rsidRPr="00CB4094">
        <w:t xml:space="preserve">Bu noktada, </w:t>
      </w:r>
      <w:proofErr w:type="spellStart"/>
      <w:r w:rsidRPr="00CB4094">
        <w:t>AAEON’un</w:t>
      </w:r>
      <w:proofErr w:type="spellEnd"/>
      <w:r w:rsidRPr="00CB4094">
        <w:t xml:space="preserve"> esnek özelleştirme ve geliştirme sürecinde hızlı teknik destek sağlama itibarı sayesinde müşteri, </w:t>
      </w:r>
      <w:proofErr w:type="spellStart"/>
      <w:r w:rsidRPr="00CB4094">
        <w:t>AAEON’u</w:t>
      </w:r>
      <w:proofErr w:type="spellEnd"/>
      <w:r w:rsidRPr="00CB4094">
        <w:t xml:space="preserve"> en uygun partner olarak gördü.</w:t>
      </w:r>
    </w:p>
    <w:p w14:paraId="03DA2333" w14:textId="77777777" w:rsidR="00CB4094" w:rsidRPr="00CB4094" w:rsidRDefault="00000000" w:rsidP="00CB4094">
      <w:r>
        <w:pict w14:anchorId="2D6ACACA">
          <v:rect id="_x0000_i1027" style="width:0;height:1.5pt" o:hralign="center" o:hrstd="t" o:hr="t" fillcolor="#a0a0a0" stroked="f"/>
        </w:pict>
      </w:r>
    </w:p>
    <w:p w14:paraId="62851884" w14:textId="77777777" w:rsidR="00CB4094" w:rsidRPr="00CB4094" w:rsidRDefault="00CB4094" w:rsidP="00CB4094">
      <w:pPr>
        <w:rPr>
          <w:b/>
          <w:bCs/>
        </w:rPr>
      </w:pPr>
      <w:r w:rsidRPr="00CB4094">
        <w:rPr>
          <w:b/>
          <w:bCs/>
        </w:rPr>
        <w:lastRenderedPageBreak/>
        <w:t>Esneklik: Proje Gereksinimlerine Cevap</w:t>
      </w:r>
    </w:p>
    <w:p w14:paraId="270A7A9D" w14:textId="77777777" w:rsidR="00CB4094" w:rsidRPr="00CB4094" w:rsidRDefault="00CB4094" w:rsidP="00CB4094">
      <w:r w:rsidRPr="00CB4094">
        <w:t xml:space="preserve">Projenin pratik ihtiyaçlarını ele alırken, AAEON ekibi en uygun </w:t>
      </w:r>
      <w:r w:rsidRPr="00CB4094">
        <w:rPr>
          <w:b/>
          <w:bCs/>
        </w:rPr>
        <w:t>Mini-ITX anakart form faktörünü</w:t>
      </w:r>
      <w:r w:rsidRPr="00CB4094">
        <w:t xml:space="preserve"> belirledi. Bu form faktörü, </w:t>
      </w:r>
      <w:r w:rsidRPr="00CB4094">
        <w:rPr>
          <w:b/>
          <w:bCs/>
        </w:rPr>
        <w:t>genişletilebilirlik, yerleşik arayüzler ve yüksek performanslı işlemci desteği</w:t>
      </w:r>
      <w:r w:rsidRPr="00CB4094">
        <w:t xml:space="preserve"> için ideal bir denge sunuyordu; üstelik sadece </w:t>
      </w:r>
      <w:r w:rsidRPr="00CB4094">
        <w:rPr>
          <w:b/>
          <w:bCs/>
        </w:rPr>
        <w:t>170mm x 170mm</w:t>
      </w:r>
      <w:r w:rsidRPr="00CB4094">
        <w:t xml:space="preserve"> boyutundaydı.</w:t>
      </w:r>
    </w:p>
    <w:p w14:paraId="580E99C6" w14:textId="77777777" w:rsidR="00CB4094" w:rsidRPr="00CB4094" w:rsidRDefault="00CB4094" w:rsidP="00CB4094">
      <w:r w:rsidRPr="00CB4094">
        <w:t xml:space="preserve">Projenin teknik ihtiyaçları, özellikle </w:t>
      </w:r>
      <w:r w:rsidRPr="00CB4094">
        <w:rPr>
          <w:b/>
          <w:bCs/>
        </w:rPr>
        <w:t>yüksek veri hacmini işleme ve depolama gereksinimleri</w:t>
      </w:r>
      <w:r w:rsidRPr="00CB4094">
        <w:t xml:space="preserve"> göz önüne alındığında, AAEON ekibi </w:t>
      </w:r>
      <w:r w:rsidRPr="00CB4094">
        <w:rPr>
          <w:b/>
          <w:bCs/>
        </w:rPr>
        <w:t xml:space="preserve">Intel® </w:t>
      </w:r>
      <w:proofErr w:type="spellStart"/>
      <w:r w:rsidRPr="00CB4094">
        <w:rPr>
          <w:b/>
          <w:bCs/>
        </w:rPr>
        <w:t>Core</w:t>
      </w:r>
      <w:proofErr w:type="spellEnd"/>
      <w:r w:rsidRPr="00CB4094">
        <w:rPr>
          <w:b/>
          <w:bCs/>
        </w:rPr>
        <w:t>™ i7 14700 işlemcili MIX-Q670D1 Mini-ITX anakartı</w:t>
      </w:r>
      <w:r w:rsidRPr="00CB4094">
        <w:t xml:space="preserve"> önerdi.</w:t>
      </w:r>
    </w:p>
    <w:p w14:paraId="432E185F" w14:textId="77777777" w:rsidR="00CB4094" w:rsidRPr="00CB4094" w:rsidRDefault="00000000" w:rsidP="00CB4094">
      <w:r>
        <w:pict w14:anchorId="74F26CC3">
          <v:rect id="_x0000_i1028" style="width:0;height:1.5pt" o:hralign="center" o:hrstd="t" o:hr="t" fillcolor="#a0a0a0" stroked="f"/>
        </w:pict>
      </w:r>
    </w:p>
    <w:p w14:paraId="5A69CD60" w14:textId="77777777" w:rsidR="00CB4094" w:rsidRPr="00CB4094" w:rsidRDefault="00CB4094" w:rsidP="00CB4094">
      <w:pPr>
        <w:rPr>
          <w:b/>
          <w:bCs/>
        </w:rPr>
      </w:pPr>
      <w:r w:rsidRPr="00CB4094">
        <w:rPr>
          <w:b/>
          <w:bCs/>
        </w:rPr>
        <w:t>Donanım İzleme ve Yüksek Performanslı 14. Nesil Intel İşlemci</w:t>
      </w:r>
    </w:p>
    <w:p w14:paraId="27F8C60D" w14:textId="77777777" w:rsidR="00CB4094" w:rsidRPr="00CB4094" w:rsidRDefault="00CB4094" w:rsidP="00CB4094">
      <w:r w:rsidRPr="00CB4094">
        <w:t xml:space="preserve">Bu seçimin ilk nedeni, anakartın </w:t>
      </w:r>
      <w:r w:rsidRPr="00CB4094">
        <w:rPr>
          <w:b/>
          <w:bCs/>
        </w:rPr>
        <w:t>gelişmiş bir CPU’yu barındırabilme kapasitesi</w:t>
      </w:r>
      <w:r w:rsidRPr="00CB4094">
        <w:t xml:space="preserve"> ve çalışma sırasında stabiliteyi garanti etmesiydi.</w:t>
      </w:r>
    </w:p>
    <w:p w14:paraId="0DD2A2F6" w14:textId="77777777" w:rsidR="00CB4094" w:rsidRPr="00CB4094" w:rsidRDefault="00CB4094" w:rsidP="00CB4094">
      <w:r w:rsidRPr="00CB4094">
        <w:t>Bunun iki temel unsuru vardı:</w:t>
      </w:r>
    </w:p>
    <w:p w14:paraId="64C280B8" w14:textId="77777777" w:rsidR="00CB4094" w:rsidRPr="00CB4094" w:rsidRDefault="00CB4094" w:rsidP="00CB4094">
      <w:pPr>
        <w:numPr>
          <w:ilvl w:val="0"/>
          <w:numId w:val="1"/>
        </w:numPr>
      </w:pPr>
      <w:r w:rsidRPr="00CB4094">
        <w:rPr>
          <w:b/>
          <w:bCs/>
        </w:rPr>
        <w:t>CPU ve sistem fan konnektörleri</w:t>
      </w:r>
      <w:r w:rsidRPr="00CB4094">
        <w:t xml:space="preserve"> sayesinde müşteriye NVR şasisinin maksimum ısı dağılımı için modüler bir platform sunulması.</w:t>
      </w:r>
    </w:p>
    <w:p w14:paraId="14D10C61" w14:textId="77777777" w:rsidR="00CB4094" w:rsidRPr="00CB4094" w:rsidRDefault="00CB4094" w:rsidP="00CB4094">
      <w:pPr>
        <w:numPr>
          <w:ilvl w:val="0"/>
          <w:numId w:val="1"/>
        </w:numPr>
      </w:pPr>
      <w:r w:rsidRPr="00CB4094">
        <w:rPr>
          <w:b/>
          <w:bCs/>
        </w:rPr>
        <w:t>Donanım izleme yetenekleri</w:t>
      </w:r>
      <w:r w:rsidRPr="00CB4094">
        <w:t xml:space="preserve"> ile hem CPU hem de sistem sıcaklıklarının sürekli izlenmesi; böylece </w:t>
      </w:r>
      <w:r w:rsidRPr="00CB4094">
        <w:rPr>
          <w:b/>
          <w:bCs/>
        </w:rPr>
        <w:t>termal daralma, aşırı ısınma</w:t>
      </w:r>
      <w:r w:rsidRPr="00CB4094">
        <w:t xml:space="preserve"> önleniyor ve yüksek yükteki video kodlama ve kaydı gibi görevler güvenli sıcaklık aralığında uzun süre gerçekleştirilebiliyordu.</w:t>
      </w:r>
    </w:p>
    <w:p w14:paraId="32D4B08B" w14:textId="77777777" w:rsidR="00CB4094" w:rsidRPr="00CB4094" w:rsidRDefault="00CB4094" w:rsidP="00CB4094">
      <w:r w:rsidRPr="00CB4094">
        <w:t xml:space="preserve">İşlemci seçimi de uygulama odaklıydı: Intel® </w:t>
      </w:r>
      <w:proofErr w:type="spellStart"/>
      <w:r w:rsidRPr="00CB4094">
        <w:t>Core</w:t>
      </w:r>
      <w:proofErr w:type="spellEnd"/>
      <w:r w:rsidRPr="00CB4094">
        <w:t xml:space="preserve">™ i7 14700, </w:t>
      </w:r>
      <w:r w:rsidRPr="00CB4094">
        <w:rPr>
          <w:b/>
          <w:bCs/>
        </w:rPr>
        <w:t xml:space="preserve">Intel® </w:t>
      </w:r>
      <w:proofErr w:type="spellStart"/>
      <w:r w:rsidRPr="00CB4094">
        <w:rPr>
          <w:b/>
          <w:bCs/>
        </w:rPr>
        <w:t>Clear</w:t>
      </w:r>
      <w:proofErr w:type="spellEnd"/>
      <w:r w:rsidRPr="00CB4094">
        <w:rPr>
          <w:b/>
          <w:bCs/>
        </w:rPr>
        <w:t xml:space="preserve"> Video HD Teknolojisi</w:t>
      </w:r>
      <w:r w:rsidRPr="00CB4094">
        <w:t xml:space="preserve"> ve </w:t>
      </w:r>
      <w:r w:rsidRPr="00CB4094">
        <w:rPr>
          <w:b/>
          <w:bCs/>
        </w:rPr>
        <w:t xml:space="preserve">Intel® </w:t>
      </w:r>
      <w:proofErr w:type="spellStart"/>
      <w:r w:rsidRPr="00CB4094">
        <w:rPr>
          <w:b/>
          <w:bCs/>
        </w:rPr>
        <w:t>Quick</w:t>
      </w:r>
      <w:proofErr w:type="spellEnd"/>
      <w:r w:rsidRPr="00CB4094">
        <w:rPr>
          <w:b/>
          <w:bCs/>
        </w:rPr>
        <w:t xml:space="preserve"> </w:t>
      </w:r>
      <w:proofErr w:type="spellStart"/>
      <w:r w:rsidRPr="00CB4094">
        <w:rPr>
          <w:b/>
          <w:bCs/>
        </w:rPr>
        <w:t>Sync</w:t>
      </w:r>
      <w:proofErr w:type="spellEnd"/>
      <w:r w:rsidRPr="00CB4094">
        <w:rPr>
          <w:b/>
          <w:bCs/>
        </w:rPr>
        <w:t xml:space="preserve"> Video</w:t>
      </w:r>
      <w:r w:rsidRPr="00CB4094">
        <w:t xml:space="preserve"> gibi bir dizi yerleşik teknoloji sunuyordu. </w:t>
      </w:r>
      <w:proofErr w:type="spellStart"/>
      <w:r w:rsidRPr="00CB4094">
        <w:t>Clear</w:t>
      </w:r>
      <w:proofErr w:type="spellEnd"/>
      <w:r w:rsidRPr="00CB4094">
        <w:t xml:space="preserve"> Video HD, entegre işlemci grafiklerinde görüntü işleme ve video oynatma geliştirmeleri sağlarken, </w:t>
      </w:r>
      <w:proofErr w:type="spellStart"/>
      <w:r w:rsidRPr="00CB4094">
        <w:t>Quick</w:t>
      </w:r>
      <w:proofErr w:type="spellEnd"/>
      <w:r w:rsidRPr="00CB4094">
        <w:t xml:space="preserve"> </w:t>
      </w:r>
      <w:proofErr w:type="spellStart"/>
      <w:r w:rsidRPr="00CB4094">
        <w:t>Sync</w:t>
      </w:r>
      <w:proofErr w:type="spellEnd"/>
      <w:r w:rsidRPr="00CB4094">
        <w:t xml:space="preserve"> Video, </w:t>
      </w:r>
      <w:r w:rsidRPr="00CB4094">
        <w:rPr>
          <w:b/>
          <w:bCs/>
        </w:rPr>
        <w:t>düşük gecikme ihtiyacını</w:t>
      </w:r>
      <w:r w:rsidRPr="00CB4094">
        <w:t xml:space="preserve"> karşılayarak video verilerinin taşınabilir medya oynatıcı ve depolama modüllerine hızlı aktarımını sağlıyordu.</w:t>
      </w:r>
    </w:p>
    <w:p w14:paraId="24858D07" w14:textId="77777777" w:rsidR="00CB4094" w:rsidRPr="00CB4094" w:rsidRDefault="00000000" w:rsidP="00CB4094">
      <w:r>
        <w:pict w14:anchorId="13437CB0">
          <v:rect id="_x0000_i1029" style="width:0;height:1.5pt" o:hralign="center" o:hrstd="t" o:hr="t" fillcolor="#a0a0a0" stroked="f"/>
        </w:pict>
      </w:r>
    </w:p>
    <w:p w14:paraId="328018CA" w14:textId="77777777" w:rsidR="00CB4094" w:rsidRPr="00CB4094" w:rsidRDefault="00CB4094" w:rsidP="00CB4094">
      <w:pPr>
        <w:rPr>
          <w:b/>
          <w:bCs/>
        </w:rPr>
      </w:pPr>
      <w:r w:rsidRPr="00CB4094">
        <w:rPr>
          <w:b/>
          <w:bCs/>
        </w:rPr>
        <w:t>Modüler Kamera Desteği İçin Esnek Ethernet Arayüzleri</w:t>
      </w:r>
    </w:p>
    <w:p w14:paraId="7743CFA7" w14:textId="77777777" w:rsidR="00CB4094" w:rsidRPr="00CB4094" w:rsidRDefault="00CB4094" w:rsidP="00CB4094">
      <w:r w:rsidRPr="00CB4094">
        <w:t xml:space="preserve">MIX-Q670D1’in </w:t>
      </w:r>
      <w:r w:rsidRPr="00CB4094">
        <w:rPr>
          <w:b/>
          <w:bCs/>
        </w:rPr>
        <w:t xml:space="preserve">çift </w:t>
      </w:r>
      <w:proofErr w:type="spellStart"/>
      <w:r w:rsidRPr="00CB4094">
        <w:rPr>
          <w:b/>
          <w:bCs/>
        </w:rPr>
        <w:t>GbE</w:t>
      </w:r>
      <w:proofErr w:type="spellEnd"/>
      <w:r w:rsidRPr="00CB4094">
        <w:rPr>
          <w:b/>
          <w:bCs/>
        </w:rPr>
        <w:t xml:space="preserve"> LAN portu</w:t>
      </w:r>
      <w:r w:rsidRPr="00CB4094">
        <w:t>, çoklu IP kameraların video verilerini toplamasında kritik öneme sahipti.</w:t>
      </w:r>
    </w:p>
    <w:p w14:paraId="7F822470" w14:textId="77777777" w:rsidR="00CB4094" w:rsidRPr="00CB4094" w:rsidRDefault="00CB4094" w:rsidP="00CB4094">
      <w:r w:rsidRPr="00CB4094">
        <w:t xml:space="preserve">Her LAN portu, NVR şasisine entegre edilmiş </w:t>
      </w:r>
      <w:r w:rsidRPr="00CB4094">
        <w:rPr>
          <w:b/>
          <w:bCs/>
        </w:rPr>
        <w:t xml:space="preserve">8 portlu dahili </w:t>
      </w:r>
      <w:proofErr w:type="spellStart"/>
      <w:r w:rsidRPr="00CB4094">
        <w:rPr>
          <w:b/>
          <w:bCs/>
        </w:rPr>
        <w:t>PoE</w:t>
      </w:r>
      <w:proofErr w:type="spellEnd"/>
      <w:r w:rsidRPr="00CB4094">
        <w:rPr>
          <w:b/>
          <w:bCs/>
        </w:rPr>
        <w:t xml:space="preserve"> </w:t>
      </w:r>
      <w:proofErr w:type="spellStart"/>
      <w:r w:rsidRPr="00CB4094">
        <w:rPr>
          <w:b/>
          <w:bCs/>
        </w:rPr>
        <w:t>switch</w:t>
      </w:r>
      <w:proofErr w:type="spellEnd"/>
      <w:r w:rsidRPr="00CB4094">
        <w:rPr>
          <w:b/>
          <w:bCs/>
        </w:rPr>
        <w:t xml:space="preserve"> modülüne</w:t>
      </w:r>
      <w:r w:rsidRPr="00CB4094">
        <w:t xml:space="preserve"> bağlandı. Bu modül, kameralar tarafından iletilen video akışlarını </w:t>
      </w:r>
      <w:r w:rsidRPr="00CB4094">
        <w:rPr>
          <w:b/>
          <w:bCs/>
        </w:rPr>
        <w:t>MIX-Q670D1’e yönlendirerek işleme, analiz ve depolama</w:t>
      </w:r>
      <w:r w:rsidRPr="00CB4094">
        <w:t xml:space="preserve"> yaptı.</w:t>
      </w:r>
    </w:p>
    <w:p w14:paraId="3EBCD6BF" w14:textId="77777777" w:rsidR="00CB4094" w:rsidRPr="00CB4094" w:rsidRDefault="00CB4094" w:rsidP="00CB4094">
      <w:r w:rsidRPr="00CB4094">
        <w:t xml:space="preserve">Bu mimari, </w:t>
      </w:r>
      <w:proofErr w:type="spellStart"/>
      <w:r w:rsidRPr="00CB4094">
        <w:t>NVR’nin</w:t>
      </w:r>
      <w:proofErr w:type="spellEnd"/>
      <w:r w:rsidRPr="00CB4094">
        <w:t xml:space="preserve"> </w:t>
      </w:r>
      <w:r w:rsidRPr="00CB4094">
        <w:rPr>
          <w:b/>
          <w:bCs/>
        </w:rPr>
        <w:t>kompakt ve bağımsız</w:t>
      </w:r>
      <w:r w:rsidRPr="00CB4094">
        <w:t xml:space="preserve"> kalmasını sağlarken, aynı sayıda dahili </w:t>
      </w:r>
      <w:proofErr w:type="spellStart"/>
      <w:r w:rsidRPr="00CB4094">
        <w:t>PoE</w:t>
      </w:r>
      <w:proofErr w:type="spellEnd"/>
      <w:r w:rsidRPr="00CB4094">
        <w:t xml:space="preserve"> portuna sahip bir anakart takılması durumunda şasinin boyutunun ciddi şekilde artmasını ve kamera </w:t>
      </w:r>
      <w:r w:rsidRPr="00CB4094">
        <w:lastRenderedPageBreak/>
        <w:t xml:space="preserve">sayısının standardize edilmesini önledi. Bu da müşterinin farklı son kullanıcı ihtiyaçlarına göre </w:t>
      </w:r>
      <w:r w:rsidRPr="00CB4094">
        <w:rPr>
          <w:b/>
          <w:bCs/>
        </w:rPr>
        <w:t>birden fazla SKU geliştirme opsiyonunu</w:t>
      </w:r>
      <w:r w:rsidRPr="00CB4094">
        <w:t xml:space="preserve"> korudu.</w:t>
      </w:r>
    </w:p>
    <w:p w14:paraId="6D87332D" w14:textId="77777777" w:rsidR="00CB4094" w:rsidRPr="00CB4094" w:rsidRDefault="00000000" w:rsidP="00CB4094">
      <w:r>
        <w:pict w14:anchorId="1F132B8E">
          <v:rect id="_x0000_i1030" style="width:0;height:1.5pt" o:hralign="center" o:hrstd="t" o:hr="t" fillcolor="#a0a0a0" stroked="f"/>
        </w:pict>
      </w:r>
    </w:p>
    <w:p w14:paraId="76C344B9" w14:textId="77777777" w:rsidR="00CB4094" w:rsidRPr="00CB4094" w:rsidRDefault="00CB4094" w:rsidP="00CB4094">
      <w:pPr>
        <w:rPr>
          <w:b/>
          <w:bCs/>
        </w:rPr>
      </w:pPr>
      <w:r w:rsidRPr="00CB4094">
        <w:rPr>
          <w:b/>
          <w:bCs/>
        </w:rPr>
        <w:t>Üç Adet Ayrılmış Depolama Sürücüsü</w:t>
      </w:r>
    </w:p>
    <w:p w14:paraId="3C306551" w14:textId="77777777" w:rsidR="00CB4094" w:rsidRPr="00CB4094" w:rsidRDefault="00CB4094" w:rsidP="00CB4094">
      <w:r w:rsidRPr="00CB4094">
        <w:t xml:space="preserve">MIX-Q670D1’in seçilmesinin bir diğer önemli nedeni </w:t>
      </w:r>
      <w:r w:rsidRPr="00CB4094">
        <w:rPr>
          <w:b/>
          <w:bCs/>
        </w:rPr>
        <w:t>boyutuna göre sunduğu olağanüstü depolama seçenekleri</w:t>
      </w:r>
      <w:r w:rsidRPr="00CB4094">
        <w:t>ydi:</w:t>
      </w:r>
    </w:p>
    <w:p w14:paraId="27ABB4DC" w14:textId="77777777" w:rsidR="00CB4094" w:rsidRPr="00CB4094" w:rsidRDefault="00CB4094" w:rsidP="00CB4094">
      <w:pPr>
        <w:numPr>
          <w:ilvl w:val="0"/>
          <w:numId w:val="2"/>
        </w:numPr>
      </w:pPr>
      <w:r w:rsidRPr="00CB4094">
        <w:rPr>
          <w:b/>
          <w:bCs/>
        </w:rPr>
        <w:t>İki adet 2.5” SATA sürücü</w:t>
      </w:r>
    </w:p>
    <w:p w14:paraId="01462D00" w14:textId="77777777" w:rsidR="00CB4094" w:rsidRPr="00CB4094" w:rsidRDefault="00CB4094" w:rsidP="00CB4094">
      <w:pPr>
        <w:numPr>
          <w:ilvl w:val="0"/>
          <w:numId w:val="2"/>
        </w:numPr>
      </w:pPr>
      <w:r w:rsidRPr="00CB4094">
        <w:rPr>
          <w:b/>
          <w:bCs/>
        </w:rPr>
        <w:t>M.2 2280 M-</w:t>
      </w:r>
      <w:proofErr w:type="spellStart"/>
      <w:r w:rsidRPr="00CB4094">
        <w:rPr>
          <w:b/>
          <w:bCs/>
        </w:rPr>
        <w:t>Key</w:t>
      </w:r>
      <w:proofErr w:type="spellEnd"/>
      <w:r w:rsidRPr="00CB4094">
        <w:rPr>
          <w:b/>
          <w:bCs/>
        </w:rPr>
        <w:t xml:space="preserve"> slotu (4-lane </w:t>
      </w:r>
      <w:proofErr w:type="spellStart"/>
      <w:r w:rsidRPr="00CB4094">
        <w:rPr>
          <w:b/>
          <w:bCs/>
        </w:rPr>
        <w:t>PCIe</w:t>
      </w:r>
      <w:proofErr w:type="spellEnd"/>
      <w:r w:rsidRPr="00CB4094">
        <w:rPr>
          <w:b/>
          <w:bCs/>
        </w:rPr>
        <w:t xml:space="preserve"> </w:t>
      </w:r>
      <w:proofErr w:type="spellStart"/>
      <w:r w:rsidRPr="00CB4094">
        <w:rPr>
          <w:b/>
          <w:bCs/>
        </w:rPr>
        <w:t>NVMe</w:t>
      </w:r>
      <w:proofErr w:type="spellEnd"/>
      <w:r w:rsidRPr="00CB4094">
        <w:rPr>
          <w:b/>
          <w:bCs/>
        </w:rPr>
        <w:t xml:space="preserve"> desteği)</w:t>
      </w:r>
    </w:p>
    <w:p w14:paraId="7C38FAA4" w14:textId="77777777" w:rsidR="00CB4094" w:rsidRPr="00CB4094" w:rsidRDefault="00CB4094" w:rsidP="00CB4094">
      <w:r w:rsidRPr="00CB4094">
        <w:t xml:space="preserve">Bu yapı, yerel veri depolama ve uzun vadeli saklama için geniş </w:t>
      </w:r>
      <w:proofErr w:type="gramStart"/>
      <w:r w:rsidRPr="00CB4094">
        <w:t>imkan</w:t>
      </w:r>
      <w:proofErr w:type="gramEnd"/>
      <w:r w:rsidRPr="00CB4094">
        <w:t xml:space="preserve"> sağladı.</w:t>
      </w:r>
    </w:p>
    <w:p w14:paraId="30F454C6" w14:textId="77777777" w:rsidR="00CB4094" w:rsidRPr="00CB4094" w:rsidRDefault="00CB4094" w:rsidP="00CB4094">
      <w:r w:rsidRPr="00CB4094">
        <w:t xml:space="preserve">AAEON ekibi ayrıca müşteriye </w:t>
      </w:r>
      <w:r w:rsidRPr="00CB4094">
        <w:rPr>
          <w:b/>
          <w:bCs/>
        </w:rPr>
        <w:t>RAID sürücüsü</w:t>
      </w:r>
      <w:r w:rsidRPr="00CB4094">
        <w:t xml:space="preserve"> temin ederek depolama kaynaklarının esnek yönetilmesini sağladı. Örnek olarak, müşteri iki adet 22TB HDD ve 8TB </w:t>
      </w:r>
      <w:proofErr w:type="spellStart"/>
      <w:r w:rsidRPr="00CB4094">
        <w:t>NVMe</w:t>
      </w:r>
      <w:proofErr w:type="spellEnd"/>
      <w:r w:rsidRPr="00CB4094">
        <w:t xml:space="preserve"> modül ile toplamda 52TB depolama kurabilirdi. Ancak uzun vadeli ve stabil veri saklama ihtiyacı nedeniyle </w:t>
      </w:r>
      <w:r w:rsidRPr="00CB4094">
        <w:rPr>
          <w:b/>
          <w:bCs/>
        </w:rPr>
        <w:t>RAID 1 ile SATA HDD’leri aynalayarak veri bütünlüğünü korumak</w:t>
      </w:r>
      <w:r w:rsidRPr="00CB4094">
        <w:t xml:space="preserve"> daha uygun bulundu.</w:t>
      </w:r>
    </w:p>
    <w:p w14:paraId="2865043A" w14:textId="77777777" w:rsidR="00CB4094" w:rsidRPr="00CB4094" w:rsidRDefault="00CB4094" w:rsidP="00CB4094">
      <w:r w:rsidRPr="00CB4094">
        <w:t xml:space="preserve">RAID 1 konfigürasyonu ile kullanılabilir depolama kapasitesi iki sürücü için 22TB’a düşse </w:t>
      </w:r>
      <w:proofErr w:type="gramStart"/>
      <w:r w:rsidRPr="00CB4094">
        <w:t>de,</w:t>
      </w:r>
      <w:proofErr w:type="gramEnd"/>
      <w:r w:rsidRPr="00CB4094">
        <w:t xml:space="preserve"> müşteri güvenilirlik ve kritik veri saklama gerekliliği nedeniyle bunu gerekli bir </w:t>
      </w:r>
      <w:proofErr w:type="gramStart"/>
      <w:r w:rsidRPr="00CB4094">
        <w:t>fedakarlık</w:t>
      </w:r>
      <w:proofErr w:type="gramEnd"/>
      <w:r w:rsidRPr="00CB4094">
        <w:t xml:space="preserve"> olarak gördü.</w:t>
      </w:r>
    </w:p>
    <w:p w14:paraId="465FE5CF" w14:textId="77777777" w:rsidR="00CB4094" w:rsidRPr="00CB4094" w:rsidRDefault="00000000" w:rsidP="00CB4094">
      <w:r>
        <w:pict w14:anchorId="3D7AA23B">
          <v:rect id="_x0000_i1031" style="width:0;height:1.5pt" o:hralign="center" o:hrstd="t" o:hr="t" fillcolor="#a0a0a0" stroked="f"/>
        </w:pict>
      </w:r>
    </w:p>
    <w:p w14:paraId="68000DA3" w14:textId="77777777" w:rsidR="00CB4094" w:rsidRPr="00CB4094" w:rsidRDefault="00CB4094" w:rsidP="00CB4094">
      <w:pPr>
        <w:rPr>
          <w:b/>
          <w:bCs/>
        </w:rPr>
      </w:pPr>
      <w:proofErr w:type="spellStart"/>
      <w:r w:rsidRPr="00CB4094">
        <w:rPr>
          <w:b/>
          <w:bCs/>
        </w:rPr>
        <w:t>AAEON’un</w:t>
      </w:r>
      <w:proofErr w:type="spellEnd"/>
      <w:r w:rsidRPr="00CB4094">
        <w:rPr>
          <w:b/>
          <w:bCs/>
        </w:rPr>
        <w:t xml:space="preserve"> Esnek Özelleştirmesi</w:t>
      </w:r>
    </w:p>
    <w:p w14:paraId="65182571" w14:textId="77777777" w:rsidR="00CB4094" w:rsidRPr="00CB4094" w:rsidRDefault="00CB4094" w:rsidP="00CB4094">
      <w:r w:rsidRPr="00CB4094">
        <w:t xml:space="preserve">Farklı ortamlarda konuşlandırılacak NVR sistemleri için gereken güvenilirlik standardını karşılamak amacıyla, AAEON ekibi </w:t>
      </w:r>
      <w:r w:rsidRPr="00CB4094">
        <w:rPr>
          <w:b/>
          <w:bCs/>
        </w:rPr>
        <w:t>esnek özelleştirme kabiliyetlerini</w:t>
      </w:r>
      <w:r w:rsidRPr="00CB4094">
        <w:t xml:space="preserve"> sergiledi.</w:t>
      </w:r>
    </w:p>
    <w:p w14:paraId="6A614A39" w14:textId="77777777" w:rsidR="00CB4094" w:rsidRPr="00CB4094" w:rsidRDefault="00CB4094" w:rsidP="00CB4094">
      <w:r w:rsidRPr="00CB4094">
        <w:t xml:space="preserve">MIX-Q670D1’in varsayılan olarak </w:t>
      </w:r>
      <w:r w:rsidRPr="00CB4094">
        <w:rPr>
          <w:b/>
          <w:bCs/>
        </w:rPr>
        <w:t>12V DC güç girişi</w:t>
      </w:r>
      <w:r w:rsidRPr="00CB4094">
        <w:t xml:space="preserve"> bulunuyordu ve müşteri, anakartın gözetim sistemlerine özgü </w:t>
      </w:r>
      <w:r w:rsidRPr="00CB4094">
        <w:rPr>
          <w:b/>
          <w:bCs/>
        </w:rPr>
        <w:t>zorlayıcı güç koşullarında çalışamayacağını</w:t>
      </w:r>
      <w:r w:rsidRPr="00CB4094">
        <w:t xml:space="preserve"> düşündü.</w:t>
      </w:r>
    </w:p>
    <w:p w14:paraId="77ADA1A6" w14:textId="29089529" w:rsidR="006879CF" w:rsidRDefault="00CB4094">
      <w:r w:rsidRPr="00CB4094">
        <w:t xml:space="preserve">Bunu çözmek için, AAEON </w:t>
      </w:r>
      <w:r w:rsidRPr="00CB4094">
        <w:rPr>
          <w:b/>
          <w:bCs/>
        </w:rPr>
        <w:t xml:space="preserve">anakartın güç giriş devresine </w:t>
      </w:r>
      <w:proofErr w:type="spellStart"/>
      <w:r w:rsidRPr="00CB4094">
        <w:rPr>
          <w:b/>
          <w:bCs/>
        </w:rPr>
        <w:t>poly-switch</w:t>
      </w:r>
      <w:proofErr w:type="spellEnd"/>
      <w:r w:rsidRPr="00CB4094">
        <w:rPr>
          <w:b/>
          <w:bCs/>
        </w:rPr>
        <w:t xml:space="preserve"> ekledi</w:t>
      </w:r>
      <w:r w:rsidRPr="00CB4094">
        <w:t xml:space="preserve">. Bu, </w:t>
      </w:r>
      <w:r w:rsidRPr="00CB4094">
        <w:rPr>
          <w:b/>
          <w:bCs/>
        </w:rPr>
        <w:t>resetlenebilir aşırı akım koruması (OCP)</w:t>
      </w:r>
      <w:r w:rsidRPr="00CB4094">
        <w:t xml:space="preserve"> sağlayarak, ani kısa devre veya aşırı akım durumlarının uygulamaya zarar vermesini önledi.</w:t>
      </w:r>
    </w:p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1263B"/>
    <w:multiLevelType w:val="multilevel"/>
    <w:tmpl w:val="D4EC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46B18"/>
    <w:multiLevelType w:val="multilevel"/>
    <w:tmpl w:val="97B8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5750620">
    <w:abstractNumId w:val="1"/>
  </w:num>
  <w:num w:numId="2" w16cid:durableId="7825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4"/>
    <w:rsid w:val="00621221"/>
    <w:rsid w:val="006879CF"/>
    <w:rsid w:val="006B59BD"/>
    <w:rsid w:val="006D41E0"/>
    <w:rsid w:val="0078230B"/>
    <w:rsid w:val="007A1126"/>
    <w:rsid w:val="00947289"/>
    <w:rsid w:val="009D53D2"/>
    <w:rsid w:val="00C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0C46"/>
  <w15:chartTrackingRefBased/>
  <w15:docId w15:val="{9D3CDF7D-A4B8-4584-B2D7-07AFC5E1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4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4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40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4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40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4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4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4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4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4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4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4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409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409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40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40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40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40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B4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4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4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B4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B4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40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B40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B409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4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409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B4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2</cp:revision>
  <dcterms:created xsi:type="dcterms:W3CDTF">2025-11-24T07:10:00Z</dcterms:created>
  <dcterms:modified xsi:type="dcterms:W3CDTF">2025-12-23T12:06:00Z</dcterms:modified>
</cp:coreProperties>
</file>