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4FA1" w14:textId="77777777" w:rsidR="000B4685" w:rsidRPr="000B4685" w:rsidRDefault="000B4685" w:rsidP="000B4685">
      <w:pPr>
        <w:rPr>
          <w:b/>
          <w:bCs/>
        </w:rPr>
      </w:pPr>
      <w:r w:rsidRPr="000B4685">
        <w:rPr>
          <w:b/>
          <w:bCs/>
        </w:rPr>
        <w:t>Akıllı Otomat Makinesi Yaygınlaştırmasını Ölçeklendirme</w:t>
      </w:r>
    </w:p>
    <w:p w14:paraId="5D05B4BE" w14:textId="77777777" w:rsidR="000B4685" w:rsidRPr="000B4685" w:rsidRDefault="000B4685" w:rsidP="000B4685">
      <w:proofErr w:type="spellStart"/>
      <w:r w:rsidRPr="000B4685">
        <w:rPr>
          <w:b/>
          <w:bCs/>
        </w:rPr>
        <w:t>AAEON’un</w:t>
      </w:r>
      <w:proofErr w:type="spellEnd"/>
      <w:r w:rsidRPr="000B4685">
        <w:rPr>
          <w:b/>
          <w:bCs/>
        </w:rPr>
        <w:t xml:space="preserve"> Mükemmel Dış Mekân Uyumlu Gömülü Platformu Nasıl Geliştirdiği</w:t>
      </w:r>
    </w:p>
    <w:p w14:paraId="3EF3D462" w14:textId="77777777" w:rsidR="000B4685" w:rsidRPr="000B4685" w:rsidRDefault="000B4685" w:rsidP="000B4685">
      <w:r w:rsidRPr="000B4685">
        <w:t xml:space="preserve">Şirketin yenilikçi akıllı perakende projelerini pazara sunma konusundaki köklü geçmişi ve özelleştirme hizmetlerinin önde gelen sağlayıcılarından biri olarak sahip olduğu itibarı göz önüne alındığında, müşteri proje gereksinimlerini karşılayabilecek bir gömülü çözüm geliştirmesi için </w:t>
      </w:r>
      <w:proofErr w:type="spellStart"/>
      <w:r w:rsidRPr="000B4685">
        <w:t>AAEON’a</w:t>
      </w:r>
      <w:proofErr w:type="spellEnd"/>
      <w:r w:rsidRPr="000B4685">
        <w:t xml:space="preserve"> başvurdu.</w:t>
      </w:r>
    </w:p>
    <w:p w14:paraId="2B279B01" w14:textId="77777777" w:rsidR="000B4685" w:rsidRPr="000B4685" w:rsidRDefault="00000000" w:rsidP="000B4685">
      <w:r>
        <w:pict w14:anchorId="569BC7D3">
          <v:rect id="_x0000_i1025" style="width:0;height:1.5pt" o:hralign="center" o:hrstd="t" o:hr="t" fillcolor="#a0a0a0" stroked="f"/>
        </w:pict>
      </w:r>
    </w:p>
    <w:p w14:paraId="29724251" w14:textId="77777777" w:rsidR="000B4685" w:rsidRPr="000B4685" w:rsidRDefault="000B4685" w:rsidP="000B4685">
      <w:pPr>
        <w:rPr>
          <w:b/>
          <w:bCs/>
        </w:rPr>
      </w:pPr>
      <w:r w:rsidRPr="000B4685">
        <w:rPr>
          <w:b/>
          <w:bCs/>
        </w:rPr>
        <w:t>Projedeki Zorlukların Belirlenmesi</w:t>
      </w:r>
    </w:p>
    <w:p w14:paraId="1F66E5CF" w14:textId="77777777" w:rsidR="000B4685" w:rsidRPr="000B4685" w:rsidRDefault="000B4685" w:rsidP="000B4685">
      <w:pPr>
        <w:rPr>
          <w:b/>
          <w:bCs/>
        </w:rPr>
      </w:pPr>
      <w:r w:rsidRPr="000B4685">
        <w:rPr>
          <w:b/>
          <w:bCs/>
        </w:rPr>
        <w:t>Dış Mekân Kurulumu</w:t>
      </w:r>
    </w:p>
    <w:p w14:paraId="498AFB82" w14:textId="77777777" w:rsidR="000B4685" w:rsidRPr="000B4685" w:rsidRDefault="000B4685" w:rsidP="000B4685">
      <w:r w:rsidRPr="000B4685">
        <w:t>Müşterinin karşılaştığı en önemli zorluklardan ilki, kullanılacak herhangi bir gömülü kartın veya sistemin nispeten zorlu bir ortamda çalışabilmesi için gerekli çevresel dayanıklılığa sahip olduğundan emin olmaktı.</w:t>
      </w:r>
      <w:r w:rsidRPr="000B4685">
        <w:br/>
        <w:t>Müşterinin otomat makinelerinin dış mekâna kurulacak olması nedeniyle, kullanılacak gömülü çözümün son derece dayanıklı olması gerekiyordu.</w:t>
      </w:r>
    </w:p>
    <w:p w14:paraId="73DF84BD" w14:textId="77777777" w:rsidR="000B4685" w:rsidRPr="000B4685" w:rsidRDefault="000B4685" w:rsidP="000B4685">
      <w:r w:rsidRPr="000B4685">
        <w:t>Bu özellikle kritikti çünkü gömülü platformun arızalanması yalnızca makinenin çalışamaması nedeniyle gelir kaybına yol açmakla kalmayacak, aynı zamanda otomatın içinde depolanan bozulabilir donmuş gıda ürünlerinin maliyetinin doğrudan şirkete yansımasına neden olacaktı.</w:t>
      </w:r>
    </w:p>
    <w:p w14:paraId="60F430AF" w14:textId="77777777" w:rsidR="000B4685" w:rsidRPr="000B4685" w:rsidRDefault="00000000" w:rsidP="000B4685">
      <w:r>
        <w:pict w14:anchorId="314DD866">
          <v:rect id="_x0000_i1026" style="width:0;height:1.5pt" o:hralign="center" o:hrstd="t" o:hr="t" fillcolor="#a0a0a0" stroked="f"/>
        </w:pict>
      </w:r>
    </w:p>
    <w:p w14:paraId="12FC8451" w14:textId="77777777" w:rsidR="000B4685" w:rsidRPr="000B4685" w:rsidRDefault="000B4685" w:rsidP="000B4685">
      <w:pPr>
        <w:rPr>
          <w:b/>
          <w:bCs/>
        </w:rPr>
      </w:pPr>
      <w:proofErr w:type="spellStart"/>
      <w:r w:rsidRPr="000B4685">
        <w:rPr>
          <w:b/>
          <w:bCs/>
        </w:rPr>
        <w:t>Chromium</w:t>
      </w:r>
      <w:proofErr w:type="spellEnd"/>
      <w:r w:rsidRPr="000B4685">
        <w:rPr>
          <w:b/>
          <w:bCs/>
        </w:rPr>
        <w:t xml:space="preserve"> Tabanlı Arayüz (GUI)</w:t>
      </w:r>
    </w:p>
    <w:p w14:paraId="7C6CC9A0" w14:textId="77777777" w:rsidR="000B4685" w:rsidRPr="000B4685" w:rsidRDefault="000B4685" w:rsidP="000B4685">
      <w:r w:rsidRPr="000B4685">
        <w:t>Benzer şekilde, müşterinin markası yüksek kaliteyle özdeşleşmişti ve bu nedenle, gömülü platformun maksimum müşteri memnuniyeti için yüksek çözünürlüklü görüntü grafiklerini destekleyen bir dokunmatik ekran arayüzünü desteklemesi talep edildi.</w:t>
      </w:r>
    </w:p>
    <w:p w14:paraId="747FF3C9" w14:textId="77777777" w:rsidR="000B4685" w:rsidRPr="000B4685" w:rsidRDefault="000B4685" w:rsidP="000B4685">
      <w:r w:rsidRPr="000B4685">
        <w:t xml:space="preserve">Bunu sağlamak adına, müşterinin uygulamanın GUI platformu olarak </w:t>
      </w:r>
      <w:proofErr w:type="spellStart"/>
      <w:r w:rsidRPr="000B4685">
        <w:t>Chromium</w:t>
      </w:r>
      <w:proofErr w:type="spellEnd"/>
      <w:r w:rsidRPr="000B4685">
        <w:t xml:space="preserve"> üzerinde çalışmasını istemesi birçok avantaj getirdi.</w:t>
      </w:r>
    </w:p>
    <w:p w14:paraId="6BB85F2D" w14:textId="77777777" w:rsidR="000B4685" w:rsidRPr="000B4685" w:rsidRDefault="000B4685" w:rsidP="000B4685">
      <w:r w:rsidRPr="000B4685">
        <w:t xml:space="preserve">İlk olarak, </w:t>
      </w:r>
      <w:proofErr w:type="spellStart"/>
      <w:r w:rsidRPr="000B4685">
        <w:t>Chromium</w:t>
      </w:r>
      <w:proofErr w:type="spellEnd"/>
      <w:r w:rsidRPr="000B4685">
        <w:t xml:space="preserve"> cilalı ve görsel açıdan zengin arayüzlerin sunumu için oldukça uygundu.</w:t>
      </w:r>
      <w:r w:rsidRPr="000B4685">
        <w:br/>
        <w:t xml:space="preserve">Ayrıca </w:t>
      </w:r>
      <w:proofErr w:type="spellStart"/>
      <w:r w:rsidRPr="000B4685">
        <w:t>Chromium</w:t>
      </w:r>
      <w:proofErr w:type="spellEnd"/>
      <w:r w:rsidRPr="000B4685">
        <w:t>, kiosk modu, tam ekran başlatma ve sistem kontrollerini devre dışı bırakma gibi yerleşik avantajlara sahipti; bu da özellikle insansız, düşük bakım gerektiren dış mekân otomat makineleri gibi uygulamalarda son derece güvenli ve müdahaleye dayanıklı bir ortam sağlıyordu.</w:t>
      </w:r>
    </w:p>
    <w:p w14:paraId="1B28369D" w14:textId="77777777" w:rsidR="000B4685" w:rsidRPr="000B4685" w:rsidRDefault="00000000" w:rsidP="000B4685">
      <w:r>
        <w:pict w14:anchorId="1273865E">
          <v:rect id="_x0000_i1027" style="width:0;height:1.5pt" o:hralign="center" o:hrstd="t" o:hr="t" fillcolor="#a0a0a0" stroked="f"/>
        </w:pict>
      </w:r>
    </w:p>
    <w:p w14:paraId="70C3E2D9" w14:textId="77777777" w:rsidR="000B4685" w:rsidRPr="000B4685" w:rsidRDefault="000B4685" w:rsidP="000B4685">
      <w:pPr>
        <w:rPr>
          <w:b/>
          <w:bCs/>
        </w:rPr>
      </w:pPr>
      <w:r w:rsidRPr="000B4685">
        <w:rPr>
          <w:b/>
          <w:bCs/>
        </w:rPr>
        <w:t>Tümleşik Cihaz Desteği</w:t>
      </w:r>
    </w:p>
    <w:p w14:paraId="25E2996B" w14:textId="77777777" w:rsidR="000B4685" w:rsidRPr="000B4685" w:rsidRDefault="000B4685" w:rsidP="000B4685">
      <w:r w:rsidRPr="000B4685">
        <w:lastRenderedPageBreak/>
        <w:t>Dayanıklılığın ötesinde, böyle bir uygulama geliştirirken en büyük engellerden biri, ihtiyaç duyulan kablolu arabirim çeşitliliği ile kararlı bulut bağlantısı arasında doğru dengeyi sunabilecek bir gömülü platform bulmaktı.</w:t>
      </w:r>
    </w:p>
    <w:p w14:paraId="012457A5" w14:textId="77777777" w:rsidR="000B4685" w:rsidRPr="000B4685" w:rsidRDefault="000B4685" w:rsidP="000B4685">
      <w:r w:rsidRPr="000B4685">
        <w:t xml:space="preserve">Otomat makinesi; ekran </w:t>
      </w:r>
      <w:proofErr w:type="spellStart"/>
      <w:r w:rsidRPr="000B4685">
        <w:t>kiosk’u</w:t>
      </w:r>
      <w:proofErr w:type="spellEnd"/>
      <w:r w:rsidRPr="000B4685">
        <w:t>, POS terminali, buzdolabı ve envanter yönetim sistemi gibi birçok işlev göreceği için, kontrol ünitesinin sensörler, ekranlar ve ödeme modülleri gibi çevre birimlerinin kurulumu için geniş kapsamlı arayüzlere sahip olması gerekiyordu. Bu ise sınırlı alan ve birçok gömülü platformun mekanik kısıtlamaları nedeniyle oldukça zordu.</w:t>
      </w:r>
    </w:p>
    <w:p w14:paraId="6A430A23" w14:textId="77777777" w:rsidR="000B4685" w:rsidRPr="000B4685" w:rsidRDefault="00000000" w:rsidP="000B4685">
      <w:r>
        <w:pict w14:anchorId="74F6784C">
          <v:rect id="_x0000_i1028" style="width:0;height:1.5pt" o:hralign="center" o:hrstd="t" o:hr="t" fillcolor="#a0a0a0" stroked="f"/>
        </w:pict>
      </w:r>
    </w:p>
    <w:p w14:paraId="28E8DF92" w14:textId="77777777" w:rsidR="000B4685" w:rsidRPr="000B4685" w:rsidRDefault="000B4685" w:rsidP="000B4685">
      <w:pPr>
        <w:rPr>
          <w:b/>
          <w:bCs/>
        </w:rPr>
      </w:pPr>
      <w:proofErr w:type="spellStart"/>
      <w:r w:rsidRPr="000B4685">
        <w:rPr>
          <w:b/>
          <w:bCs/>
        </w:rPr>
        <w:t>AAEON’un</w:t>
      </w:r>
      <w:proofErr w:type="spellEnd"/>
      <w:r w:rsidRPr="000B4685">
        <w:rPr>
          <w:b/>
          <w:bCs/>
        </w:rPr>
        <w:t xml:space="preserve"> Özel Çözümü</w:t>
      </w:r>
    </w:p>
    <w:p w14:paraId="08D5B6D7" w14:textId="77777777" w:rsidR="000B4685" w:rsidRPr="000B4685" w:rsidRDefault="000B4685" w:rsidP="000B4685">
      <w:r w:rsidRPr="000B4685">
        <w:t>Müşterinin karmaşık ihtiyaçları doğrultusunda, AAEON proje gereksinimlerini tam olarak karşılayacak özel ODM platformları geliştirme konusundaki geniş deneyimini kullanarak müşteriyle yakın şekilde çalıştı. Böylece hem otomat makineleri için sağlanan donanımın gerekli koşullarda güvenilir şekilde çalışması hem de yazılım entegrasyonu ihtiyaçlarının karşılanması sağlandı.</w:t>
      </w:r>
    </w:p>
    <w:p w14:paraId="09D3FE92" w14:textId="77777777" w:rsidR="000B4685" w:rsidRPr="000B4685" w:rsidRDefault="000B4685" w:rsidP="000B4685">
      <w:r w:rsidRPr="000B4685">
        <w:t xml:space="preserve">Müşterinin otomat makinesinin sınırlı alanına uyum sağlamak amacıyla, yüksek yoğunluklu I/O ve gömülü CPU sunabilen 100mm x 72mm </w:t>
      </w:r>
      <w:proofErr w:type="spellStart"/>
      <w:r w:rsidRPr="000B4685">
        <w:t>Pico</w:t>
      </w:r>
      <w:proofErr w:type="spellEnd"/>
      <w:r w:rsidRPr="000B4685">
        <w:t>-ITX form faktörü en uygun tercih olarak belirlendi.</w:t>
      </w:r>
    </w:p>
    <w:p w14:paraId="24D9DDD0" w14:textId="77777777" w:rsidR="000B4685" w:rsidRPr="000B4685" w:rsidRDefault="00000000" w:rsidP="000B4685">
      <w:r>
        <w:pict w14:anchorId="2E71E5A2">
          <v:rect id="_x0000_i1029" style="width:0;height:1.5pt" o:hralign="center" o:hrstd="t" o:hr="t" fillcolor="#a0a0a0" stroked="f"/>
        </w:pict>
      </w:r>
    </w:p>
    <w:p w14:paraId="551F45EF" w14:textId="77777777" w:rsidR="000B4685" w:rsidRPr="000B4685" w:rsidRDefault="000B4685" w:rsidP="000B4685">
      <w:pPr>
        <w:rPr>
          <w:b/>
          <w:bCs/>
        </w:rPr>
      </w:pPr>
      <w:r w:rsidRPr="000B4685">
        <w:rPr>
          <w:b/>
          <w:bCs/>
        </w:rPr>
        <w:t>Kompakt Çevresel Dayanıklılık</w:t>
      </w:r>
    </w:p>
    <w:p w14:paraId="2BCAC5B5" w14:textId="77777777" w:rsidR="000B4685" w:rsidRPr="000B4685" w:rsidRDefault="000B4685" w:rsidP="000B4685">
      <w:r w:rsidRPr="000B4685">
        <w:t xml:space="preserve">Sınırlı alanlı ve zorlu dış mekân koşullarında güvenilir çalışmayı sağlamak adına, </w:t>
      </w:r>
      <w:proofErr w:type="spellStart"/>
      <w:r w:rsidRPr="000B4685">
        <w:t>AAEON’un</w:t>
      </w:r>
      <w:proofErr w:type="spellEnd"/>
      <w:r w:rsidRPr="000B4685">
        <w:t xml:space="preserve"> özel </w:t>
      </w:r>
      <w:proofErr w:type="spellStart"/>
      <w:r w:rsidRPr="000B4685">
        <w:t>Pico</w:t>
      </w:r>
      <w:proofErr w:type="spellEnd"/>
      <w:r w:rsidRPr="000B4685">
        <w:t>-ITX platformu tam istenen özelliklerde üretildi.</w:t>
      </w:r>
    </w:p>
    <w:p w14:paraId="1D0F691A" w14:textId="77777777" w:rsidR="000B4685" w:rsidRPr="000B4685" w:rsidRDefault="000B4685" w:rsidP="000B4685">
      <w:r w:rsidRPr="000B4685">
        <w:t xml:space="preserve">Sıcaklık dalgalanmalarına bağlı hasar veya arızaları önlemek için kart, </w:t>
      </w:r>
      <w:proofErr w:type="spellStart"/>
      <w:r w:rsidRPr="000B4685">
        <w:t>AAEON’un</w:t>
      </w:r>
      <w:proofErr w:type="spellEnd"/>
      <w:r w:rsidRPr="000B4685">
        <w:t xml:space="preserve"> WITAS standardına göre üretildi, test edildi ve doğrulandı. Bu sayede kart -20°C ile +70°C arasında optimal performans gösterebiliyordu.</w:t>
      </w:r>
    </w:p>
    <w:p w14:paraId="733FD4B2" w14:textId="77777777" w:rsidR="000B4685" w:rsidRPr="000B4685" w:rsidRDefault="000B4685" w:rsidP="000B4685">
      <w:r w:rsidRPr="000B4685">
        <w:t>Ayrıca otomat makinelerinin kurulacağı noktaların farklı olması nedeniyle güç girişinin de değişiklik göstermesi bekleniyordu. Bu nedenle kart, 12V–24V giriş aralığını tolere edebilecek şekilde tasarlandı; böylece güç dalgalanmalarına bağlı veri kaybı veya arıza riski ortadan kaldırıldı.</w:t>
      </w:r>
    </w:p>
    <w:p w14:paraId="72CFB117" w14:textId="77777777" w:rsidR="000B4685" w:rsidRPr="000B4685" w:rsidRDefault="00000000" w:rsidP="000B4685">
      <w:r>
        <w:pict w14:anchorId="62835297">
          <v:rect id="_x0000_i1030" style="width:0;height:1.5pt" o:hralign="center" o:hrstd="t" o:hr="t" fillcolor="#a0a0a0" stroked="f"/>
        </w:pict>
      </w:r>
    </w:p>
    <w:p w14:paraId="24C9A616" w14:textId="77777777" w:rsidR="000B4685" w:rsidRPr="000B4685" w:rsidRDefault="000B4685" w:rsidP="000B4685">
      <w:pPr>
        <w:rPr>
          <w:b/>
          <w:bCs/>
        </w:rPr>
      </w:pPr>
      <w:r w:rsidRPr="000B4685">
        <w:rPr>
          <w:b/>
          <w:bCs/>
        </w:rPr>
        <w:t>Multimedya Performansı İçin Yazılımsal İnce Ayar</w:t>
      </w:r>
    </w:p>
    <w:p w14:paraId="66F54EAA" w14:textId="77777777" w:rsidR="000B4685" w:rsidRPr="000B4685" w:rsidRDefault="000B4685" w:rsidP="000B4685">
      <w:r w:rsidRPr="000B4685">
        <w:t xml:space="preserve">Müşterinin güç verimliliği, multimedya performansı ve </w:t>
      </w:r>
      <w:proofErr w:type="spellStart"/>
      <w:r w:rsidRPr="000B4685">
        <w:t>Chromium</w:t>
      </w:r>
      <w:proofErr w:type="spellEnd"/>
      <w:r w:rsidRPr="000B4685">
        <w:t xml:space="preserve"> ile donanımsal hızlandırma uyumluluğu ihtiyaçlarını karşılamak için AAEON kartın işlemci platformu olarak </w:t>
      </w:r>
      <w:proofErr w:type="spellStart"/>
      <w:r w:rsidRPr="000B4685">
        <w:t>MediaTek</w:t>
      </w:r>
      <w:proofErr w:type="spellEnd"/>
      <w:r w:rsidRPr="000B4685">
        <w:t xml:space="preserve"> </w:t>
      </w:r>
      <w:proofErr w:type="spellStart"/>
      <w:r w:rsidRPr="000B4685">
        <w:t>Genio</w:t>
      </w:r>
      <w:proofErr w:type="spellEnd"/>
      <w:r w:rsidRPr="000B4685">
        <w:t xml:space="preserve"> 510’u tercih etti.</w:t>
      </w:r>
    </w:p>
    <w:p w14:paraId="6BD7C432" w14:textId="77777777" w:rsidR="000B4685" w:rsidRPr="000B4685" w:rsidRDefault="000B4685" w:rsidP="000B4685">
      <w:r w:rsidRPr="000B4685">
        <w:lastRenderedPageBreak/>
        <w:t xml:space="preserve">Ancak müşteri uygulamanın </w:t>
      </w:r>
      <w:proofErr w:type="spellStart"/>
      <w:r w:rsidRPr="000B4685">
        <w:t>Debian</w:t>
      </w:r>
      <w:proofErr w:type="spellEnd"/>
      <w:r w:rsidRPr="000B4685">
        <w:t xml:space="preserve"> 13 işletim sistemi ile çalışmasını istedi. </w:t>
      </w:r>
      <w:proofErr w:type="spellStart"/>
      <w:r w:rsidRPr="000B4685">
        <w:t>MediaTek</w:t>
      </w:r>
      <w:proofErr w:type="spellEnd"/>
      <w:r w:rsidRPr="000B4685">
        <w:t xml:space="preserve"> </w:t>
      </w:r>
      <w:proofErr w:type="spellStart"/>
      <w:r w:rsidRPr="000B4685">
        <w:t>Genio</w:t>
      </w:r>
      <w:proofErr w:type="spellEnd"/>
      <w:r w:rsidRPr="000B4685">
        <w:t xml:space="preserve"> 510 platformu genellikle </w:t>
      </w:r>
      <w:proofErr w:type="spellStart"/>
      <w:r w:rsidRPr="000B4685">
        <w:t>Yocto</w:t>
      </w:r>
      <w:proofErr w:type="spellEnd"/>
      <w:r w:rsidRPr="000B4685">
        <w:t xml:space="preserve"> veya Android desteklediği için bu standart olarak mevcut değildi. Bunun üzerine AAEON, </w:t>
      </w:r>
      <w:proofErr w:type="spellStart"/>
      <w:r w:rsidRPr="000B4685">
        <w:t>MediaTek</w:t>
      </w:r>
      <w:proofErr w:type="spellEnd"/>
      <w:r w:rsidRPr="000B4685">
        <w:t xml:space="preserve"> tarafından yetkilendirilmiş üçüncü bir tarafla birlikte çalışarak </w:t>
      </w:r>
      <w:proofErr w:type="spellStart"/>
      <w:r w:rsidRPr="000B4685">
        <w:t>Genio</w:t>
      </w:r>
      <w:proofErr w:type="spellEnd"/>
      <w:r w:rsidRPr="000B4685">
        <w:t xml:space="preserve"> 510 için tamamen özelleştirilmiş </w:t>
      </w:r>
      <w:proofErr w:type="spellStart"/>
      <w:r w:rsidRPr="000B4685">
        <w:t>Debian</w:t>
      </w:r>
      <w:proofErr w:type="spellEnd"/>
      <w:r w:rsidRPr="000B4685">
        <w:t xml:space="preserve"> 13 imajı geliştirdi.</w:t>
      </w:r>
    </w:p>
    <w:p w14:paraId="4F8E9658" w14:textId="77777777" w:rsidR="000B4685" w:rsidRPr="000B4685" w:rsidRDefault="000B4685" w:rsidP="000B4685">
      <w:r w:rsidRPr="000B4685">
        <w:t xml:space="preserve">Bu özelleştirme; </w:t>
      </w:r>
      <w:proofErr w:type="spellStart"/>
      <w:r w:rsidRPr="000B4685">
        <w:t>kernel</w:t>
      </w:r>
      <w:proofErr w:type="spellEnd"/>
      <w:r w:rsidRPr="000B4685">
        <w:t>, sürücü ve sistem seviyesinde donanımsal hızlandırma, kiosk modunda dağıtım ve çeşitli I/O ile ağ işlevlerinin desteklenmesi için gereken değişiklikleri içeriyordu.</w:t>
      </w:r>
    </w:p>
    <w:p w14:paraId="2C2A8244" w14:textId="77777777" w:rsidR="000B4685" w:rsidRPr="000B4685" w:rsidRDefault="000B4685" w:rsidP="000B4685">
      <w:r w:rsidRPr="000B4685">
        <w:t xml:space="preserve">Ek olarak, </w:t>
      </w:r>
      <w:proofErr w:type="spellStart"/>
      <w:r w:rsidRPr="000B4685">
        <w:t>Chromium’un</w:t>
      </w:r>
      <w:proofErr w:type="spellEnd"/>
      <w:r w:rsidRPr="000B4685">
        <w:t xml:space="preserve"> donanımsal hızlandırması manuel olarak etkinleştirildi ve </w:t>
      </w:r>
      <w:proofErr w:type="spellStart"/>
      <w:r w:rsidRPr="000B4685">
        <w:t>MediaTek</w:t>
      </w:r>
      <w:proofErr w:type="spellEnd"/>
      <w:r w:rsidRPr="000B4685">
        <w:t xml:space="preserve"> </w:t>
      </w:r>
      <w:proofErr w:type="spellStart"/>
      <w:r w:rsidRPr="000B4685">
        <w:t>Genio</w:t>
      </w:r>
      <w:proofErr w:type="spellEnd"/>
      <w:r w:rsidRPr="000B4685">
        <w:t xml:space="preserve"> 510’un </w:t>
      </w:r>
      <w:proofErr w:type="spellStart"/>
      <w:r w:rsidRPr="000B4685">
        <w:t>Arm</w:t>
      </w:r>
      <w:proofErr w:type="spellEnd"/>
      <w:r w:rsidRPr="000B4685">
        <w:t xml:space="preserve"> Mali-G57 </w:t>
      </w:r>
      <w:proofErr w:type="spellStart"/>
      <w:r w:rsidRPr="000B4685">
        <w:t>GPU’su</w:t>
      </w:r>
      <w:proofErr w:type="spellEnd"/>
      <w:r w:rsidRPr="000B4685">
        <w:t xml:space="preserve"> bu amaçla kullanıldı. Bu yaklaşım sayesinde VPU ve GPU sürücüleri özel </w:t>
      </w:r>
      <w:proofErr w:type="spellStart"/>
      <w:r w:rsidRPr="000B4685">
        <w:t>kernel</w:t>
      </w:r>
      <w:proofErr w:type="spellEnd"/>
      <w:r w:rsidRPr="000B4685">
        <w:t xml:space="preserve"> seviyesinde entegre edilerek cihaz hâlâ donanımsal hızlandırmadan yararlanabilecekti.</w:t>
      </w:r>
    </w:p>
    <w:p w14:paraId="75D42B70" w14:textId="63188A2C" w:rsidR="000B4685" w:rsidRPr="000B4685" w:rsidRDefault="000B4685" w:rsidP="000B4685">
      <w:r w:rsidRPr="000B4685">
        <w:t xml:space="preserve">Bu düzenlemelerle birlikte müşteri, </w:t>
      </w:r>
      <w:proofErr w:type="spellStart"/>
      <w:r w:rsidRPr="000B4685">
        <w:t>Chromium</w:t>
      </w:r>
      <w:proofErr w:type="spellEnd"/>
      <w:r w:rsidRPr="000B4685">
        <w:t xml:space="preserve"> platformunun akıllı otomat uygulamalarında sunduğu tüm avantajlara — örneğin akıcı, etkileşimli ve yüksek performanslı multimedya görüntülemeye tam erişim sağladı.</w:t>
      </w:r>
    </w:p>
    <w:p w14:paraId="6793657D" w14:textId="77777777" w:rsidR="000B4685" w:rsidRPr="000B4685" w:rsidRDefault="00000000" w:rsidP="000B4685">
      <w:r>
        <w:pict w14:anchorId="6304436B">
          <v:rect id="_x0000_i1031" style="width:0;height:1.5pt" o:hralign="center" o:hrstd="t" o:hr="t" fillcolor="#a0a0a0" stroked="f"/>
        </w:pict>
      </w:r>
    </w:p>
    <w:p w14:paraId="1CA96BB7" w14:textId="77777777" w:rsidR="000B4685" w:rsidRPr="000B4685" w:rsidRDefault="000B4685" w:rsidP="000B4685">
      <w:pPr>
        <w:rPr>
          <w:b/>
          <w:bCs/>
        </w:rPr>
      </w:pPr>
      <w:r w:rsidRPr="000B4685">
        <w:rPr>
          <w:b/>
          <w:bCs/>
        </w:rPr>
        <w:t>I/O Seçeneklerini Maksimize Eden Uzman PCB Tasarımı</w:t>
      </w:r>
    </w:p>
    <w:p w14:paraId="2A961643" w14:textId="77777777" w:rsidR="000B4685" w:rsidRPr="000B4685" w:rsidRDefault="000B4685" w:rsidP="000B4685">
      <w:r w:rsidRPr="000B4685">
        <w:t xml:space="preserve">Her otomat makinesi bağımsız bir uygulama olacağı için </w:t>
      </w:r>
      <w:proofErr w:type="spellStart"/>
      <w:r w:rsidRPr="000B4685">
        <w:t>AAEON’un</w:t>
      </w:r>
      <w:proofErr w:type="spellEnd"/>
      <w:r w:rsidRPr="000B4685">
        <w:t xml:space="preserve"> </w:t>
      </w:r>
      <w:proofErr w:type="spellStart"/>
      <w:r w:rsidRPr="000B4685">
        <w:t>Pico</w:t>
      </w:r>
      <w:proofErr w:type="spellEnd"/>
      <w:r w:rsidRPr="000B4685">
        <w:t>-ITX kartı yüksek yoğunluklu arayüz seçeneği sunacak şekilde tasarlandı. Bu doğrultuda kart; üç adet RS-232/RS-485 seri bağlantı konnektörü ve birden fazla USB portu ile donatıldı.</w:t>
      </w:r>
    </w:p>
    <w:p w14:paraId="5AE0C674" w14:textId="77777777" w:rsidR="000B4685" w:rsidRPr="000B4685" w:rsidRDefault="000B4685" w:rsidP="000B4685">
      <w:r w:rsidRPr="000B4685">
        <w:t>USB 2.0 OTG portlarından biri OS imajı yükleme için ayrılırken, kalan üç USB portu banknot doğrulayıcılar, bozuk para sayaçları ve barkod okuyucular gibi ödeme cihazlarının kurulumunda kullanıldı.</w:t>
      </w:r>
    </w:p>
    <w:p w14:paraId="7C2A403B" w14:textId="77777777" w:rsidR="000B4685" w:rsidRPr="000B4685" w:rsidRDefault="000B4685" w:rsidP="000B4685">
      <w:r w:rsidRPr="000B4685">
        <w:t>RS-232 ve RS-485 konnektörleri ise POS terminalleri, fiş yazıcılar ve makine içindeki sıcaklık, ağırlık ve hareket sensörlerini kontrol eden ana kontrol kartı gibi çevre birimlerinin entegrasyonuna olanak sağladı.</w:t>
      </w:r>
    </w:p>
    <w:p w14:paraId="7BEF0D71" w14:textId="77777777" w:rsidR="000B4685" w:rsidRPr="000B4685" w:rsidRDefault="000B4685" w:rsidP="000B4685">
      <w:r w:rsidRPr="000B4685">
        <w:t xml:space="preserve">Sonuç olarak </w:t>
      </w:r>
      <w:proofErr w:type="spellStart"/>
      <w:r w:rsidRPr="000B4685">
        <w:t>Pico</w:t>
      </w:r>
      <w:proofErr w:type="spellEnd"/>
      <w:r w:rsidRPr="000B4685">
        <w:t xml:space="preserve">-ITX </w:t>
      </w:r>
      <w:proofErr w:type="gramStart"/>
      <w:r w:rsidRPr="000B4685">
        <w:t>kartı;</w:t>
      </w:r>
      <w:proofErr w:type="gramEnd"/>
      <w:r w:rsidRPr="000B4685">
        <w:t xml:space="preserve"> hem otomatın ticari fonksiyonlarını hem de envanter takibi, saklama koşullarının izlenmesi ve motor operasyonu gibi kritik görevleri yönetebilir hâle geldi.</w:t>
      </w:r>
    </w:p>
    <w:p w14:paraId="1CE3AB8D" w14:textId="77777777" w:rsidR="000B4685" w:rsidRPr="000B4685" w:rsidRDefault="00000000" w:rsidP="000B4685">
      <w:r>
        <w:pict w14:anchorId="359B5489">
          <v:rect id="_x0000_i1032" style="width:0;height:1.5pt" o:hralign="center" o:hrstd="t" o:hr="t" fillcolor="#a0a0a0" stroked="f"/>
        </w:pict>
      </w:r>
    </w:p>
    <w:p w14:paraId="653911AB" w14:textId="77777777" w:rsidR="000B4685" w:rsidRPr="000B4685" w:rsidRDefault="000B4685" w:rsidP="000B4685">
      <w:pPr>
        <w:rPr>
          <w:b/>
          <w:bCs/>
        </w:rPr>
      </w:pPr>
      <w:r w:rsidRPr="000B4685">
        <w:rPr>
          <w:b/>
          <w:bCs/>
        </w:rPr>
        <w:t>Uzaktan Operasyon İçin Kablosuz Bağlantı</w:t>
      </w:r>
    </w:p>
    <w:p w14:paraId="6D49334C" w14:textId="1A841D69" w:rsidR="006879CF" w:rsidRDefault="000B4685">
      <w:r w:rsidRPr="000B4685">
        <w:t xml:space="preserve">Kartın bağlantı portları otomat makinesinin pek çok günlük işlevini karşılasa </w:t>
      </w:r>
      <w:proofErr w:type="gramStart"/>
      <w:r w:rsidRPr="000B4685">
        <w:t>da,</w:t>
      </w:r>
      <w:proofErr w:type="gramEnd"/>
      <w:r w:rsidRPr="000B4685">
        <w:t xml:space="preserve"> uzak konumlu kurulumlar için güvenilir kablosuz bağlantı gerekliydi. Bu amaçla AAEON </w:t>
      </w:r>
      <w:proofErr w:type="spellStart"/>
      <w:r w:rsidRPr="000B4685">
        <w:t>Pico</w:t>
      </w:r>
      <w:proofErr w:type="spellEnd"/>
      <w:r w:rsidRPr="000B4685">
        <w:t xml:space="preserve">-ITX kart mini </w:t>
      </w:r>
      <w:proofErr w:type="spellStart"/>
      <w:r w:rsidRPr="000B4685">
        <w:t>PCIe</w:t>
      </w:r>
      <w:proofErr w:type="spellEnd"/>
      <w:r w:rsidRPr="000B4685">
        <w:t xml:space="preserve"> yuvasında bir 4G modülü ile donatıldı. Böylece işlemlerin yetkilendirilmesi ve telemetri verilerinin uzaktan izleme amacıyla müşteriye iletilmesi sağlandı.</w:t>
      </w:r>
    </w:p>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6C9"/>
    <w:multiLevelType w:val="multilevel"/>
    <w:tmpl w:val="7D52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48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85"/>
    <w:rsid w:val="000B4685"/>
    <w:rsid w:val="000C73DD"/>
    <w:rsid w:val="00621221"/>
    <w:rsid w:val="006879CF"/>
    <w:rsid w:val="006B59BD"/>
    <w:rsid w:val="006D41E0"/>
    <w:rsid w:val="00735F43"/>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642E"/>
  <w15:chartTrackingRefBased/>
  <w15:docId w15:val="{261DFAAA-196D-4CBA-BDB7-28F8A5AF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B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B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46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46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B46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B46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46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46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46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46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B46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B46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B46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B46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B46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46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46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4685"/>
    <w:rPr>
      <w:rFonts w:eastAsiaTheme="majorEastAsia" w:cstheme="majorBidi"/>
      <w:color w:val="272727" w:themeColor="text1" w:themeTint="D8"/>
    </w:rPr>
  </w:style>
  <w:style w:type="paragraph" w:styleId="KonuBal">
    <w:name w:val="Title"/>
    <w:basedOn w:val="Normal"/>
    <w:next w:val="Normal"/>
    <w:link w:val="KonuBalChar"/>
    <w:uiPriority w:val="10"/>
    <w:qFormat/>
    <w:rsid w:val="000B4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46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B46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46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B46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4685"/>
    <w:rPr>
      <w:i/>
      <w:iCs/>
      <w:color w:val="404040" w:themeColor="text1" w:themeTint="BF"/>
    </w:rPr>
  </w:style>
  <w:style w:type="paragraph" w:styleId="ListeParagraf">
    <w:name w:val="List Paragraph"/>
    <w:basedOn w:val="Normal"/>
    <w:uiPriority w:val="34"/>
    <w:qFormat/>
    <w:rsid w:val="000B4685"/>
    <w:pPr>
      <w:ind w:left="720"/>
      <w:contextualSpacing/>
    </w:pPr>
  </w:style>
  <w:style w:type="character" w:styleId="GlVurgulama">
    <w:name w:val="Intense Emphasis"/>
    <w:basedOn w:val="VarsaylanParagrafYazTipi"/>
    <w:uiPriority w:val="21"/>
    <w:qFormat/>
    <w:rsid w:val="000B4685"/>
    <w:rPr>
      <w:i/>
      <w:iCs/>
      <w:color w:val="2F5496" w:themeColor="accent1" w:themeShade="BF"/>
    </w:rPr>
  </w:style>
  <w:style w:type="paragraph" w:styleId="GlAlnt">
    <w:name w:val="Intense Quote"/>
    <w:basedOn w:val="Normal"/>
    <w:next w:val="Normal"/>
    <w:link w:val="GlAlntChar"/>
    <w:uiPriority w:val="30"/>
    <w:qFormat/>
    <w:rsid w:val="000B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4685"/>
    <w:rPr>
      <w:i/>
      <w:iCs/>
      <w:color w:val="2F5496" w:themeColor="accent1" w:themeShade="BF"/>
    </w:rPr>
  </w:style>
  <w:style w:type="character" w:styleId="GlBavuru">
    <w:name w:val="Intense Reference"/>
    <w:basedOn w:val="VarsaylanParagrafYazTipi"/>
    <w:uiPriority w:val="32"/>
    <w:qFormat/>
    <w:rsid w:val="000B4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2</cp:revision>
  <dcterms:created xsi:type="dcterms:W3CDTF">2025-11-24T06:44:00Z</dcterms:created>
  <dcterms:modified xsi:type="dcterms:W3CDTF">2025-12-23T08:29:00Z</dcterms:modified>
</cp:coreProperties>
</file>